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1DF08" w14:textId="6B094D58" w:rsidR="007B51F7" w:rsidRPr="00660AEA" w:rsidRDefault="00F307F8" w:rsidP="00F307F8">
      <w:pPr>
        <w:pStyle w:val="PlainText"/>
        <w:rPr>
          <w:rFonts w:ascii="Franklin Gothic Book" w:hAnsi="Franklin Gothic Book"/>
          <w:b/>
          <w:bCs/>
        </w:rPr>
      </w:pPr>
      <w:r w:rsidRPr="00660AEA">
        <w:rPr>
          <w:rFonts w:ascii="Franklin Gothic Book" w:hAnsi="Franklin Gothic Book"/>
          <w:b/>
          <w:bCs/>
        </w:rPr>
        <w:t xml:space="preserve">DOR </w:t>
      </w:r>
      <w:r w:rsidR="007B51F7" w:rsidRPr="00660AEA">
        <w:rPr>
          <w:rFonts w:ascii="Franklin Gothic Book" w:hAnsi="Franklin Gothic Book"/>
          <w:b/>
          <w:bCs/>
        </w:rPr>
        <w:t>Non-Filer Program</w:t>
      </w:r>
    </w:p>
    <w:p w14:paraId="0FF1DF09" w14:textId="77777777" w:rsidR="007B51F7" w:rsidRPr="00660AEA" w:rsidRDefault="007B51F7" w:rsidP="007B51F7">
      <w:pPr>
        <w:pStyle w:val="PlainText"/>
        <w:rPr>
          <w:rFonts w:ascii="Franklin Gothic Book" w:hAnsi="Franklin Gothic Book"/>
        </w:rPr>
      </w:pPr>
    </w:p>
    <w:p w14:paraId="0FF1DF0A" w14:textId="16B37C64" w:rsidR="007B51F7" w:rsidRPr="00660AEA" w:rsidRDefault="007B51F7" w:rsidP="00F307F8">
      <w:pPr>
        <w:pStyle w:val="PlainText"/>
        <w:numPr>
          <w:ilvl w:val="0"/>
          <w:numId w:val="2"/>
        </w:numPr>
        <w:ind w:left="720" w:hanging="360"/>
        <w:rPr>
          <w:rFonts w:ascii="Franklin Gothic Book" w:hAnsi="Franklin Gothic Book"/>
        </w:rPr>
      </w:pPr>
      <w:r w:rsidRPr="00660AEA">
        <w:rPr>
          <w:rFonts w:ascii="Franklin Gothic Book" w:hAnsi="Franklin Gothic Book"/>
        </w:rPr>
        <w:t xml:space="preserve">In 2014, as part of its strategic goal of increasing compliance to create a level playing field for all taxpayers, </w:t>
      </w:r>
      <w:r w:rsidR="00F307F8" w:rsidRPr="00660AEA">
        <w:rPr>
          <w:rFonts w:ascii="Franklin Gothic Book" w:hAnsi="Franklin Gothic Book"/>
        </w:rPr>
        <w:t xml:space="preserve">DOR </w:t>
      </w:r>
      <w:r w:rsidRPr="00660AEA">
        <w:rPr>
          <w:rFonts w:ascii="Franklin Gothic Book" w:hAnsi="Franklin Gothic Book"/>
        </w:rPr>
        <w:t xml:space="preserve">initiated a compliance program aimed at pinpointing non-filing and other non-compliant taxpayers in Indiana.  </w:t>
      </w:r>
    </w:p>
    <w:p w14:paraId="741BBAE9" w14:textId="77777777" w:rsidR="000D2BE3" w:rsidRPr="00660AEA" w:rsidRDefault="000D2BE3" w:rsidP="00F307F8">
      <w:pPr>
        <w:pStyle w:val="PlainText"/>
        <w:numPr>
          <w:ilvl w:val="0"/>
          <w:numId w:val="2"/>
        </w:numPr>
        <w:ind w:left="720" w:hanging="360"/>
        <w:rPr>
          <w:rFonts w:ascii="Franklin Gothic Book" w:hAnsi="Franklin Gothic Book"/>
        </w:rPr>
      </w:pPr>
      <w:r w:rsidRPr="00660AEA">
        <w:rPr>
          <w:rFonts w:ascii="Franklin Gothic Book" w:hAnsi="Franklin Gothic Book"/>
        </w:rPr>
        <w:t>To implement this program, various data sources are combined and analyzed. This includes data from other state agencies and outside sources.</w:t>
      </w:r>
    </w:p>
    <w:p w14:paraId="0FF1DF0C" w14:textId="281977F5" w:rsidR="007B51F7" w:rsidRPr="00660AEA" w:rsidRDefault="007B51F7" w:rsidP="00F307F8">
      <w:pPr>
        <w:pStyle w:val="PlainText"/>
        <w:numPr>
          <w:ilvl w:val="0"/>
          <w:numId w:val="2"/>
        </w:numPr>
        <w:ind w:left="720" w:hanging="360"/>
        <w:rPr>
          <w:rFonts w:ascii="Franklin Gothic Book" w:hAnsi="Franklin Gothic Book"/>
        </w:rPr>
      </w:pPr>
      <w:r w:rsidRPr="00660AEA">
        <w:rPr>
          <w:rFonts w:ascii="Franklin Gothic Book" w:hAnsi="Franklin Gothic Book"/>
        </w:rPr>
        <w:t xml:space="preserve">This effort has improved the overall rate of compliance and ensures that all individuals in Indiana are treated consistently and properly report income earned in Indiana. This program also ensures that counties receive the correct amount of funding as they do not receive their funds until a tax return has been filed, regardless of </w:t>
      </w:r>
      <w:proofErr w:type="gramStart"/>
      <w:r w:rsidRPr="00660AEA">
        <w:rPr>
          <w:rFonts w:ascii="Franklin Gothic Book" w:hAnsi="Franklin Gothic Book"/>
        </w:rPr>
        <w:t>whether or not</w:t>
      </w:r>
      <w:proofErr w:type="gramEnd"/>
      <w:r w:rsidRPr="00660AEA">
        <w:rPr>
          <w:rFonts w:ascii="Franklin Gothic Book" w:hAnsi="Franklin Gothic Book"/>
        </w:rPr>
        <w:t xml:space="preserve"> the withholding was remitted to </w:t>
      </w:r>
      <w:r w:rsidR="00F307F8" w:rsidRPr="00660AEA">
        <w:rPr>
          <w:rFonts w:ascii="Franklin Gothic Book" w:hAnsi="Franklin Gothic Book"/>
        </w:rPr>
        <w:t>DOR</w:t>
      </w:r>
      <w:r w:rsidRPr="00660AEA">
        <w:rPr>
          <w:rFonts w:ascii="Franklin Gothic Book" w:hAnsi="Franklin Gothic Book"/>
        </w:rPr>
        <w:t xml:space="preserve"> from the individual’s employer.</w:t>
      </w:r>
    </w:p>
    <w:p w14:paraId="0FF1DF0D" w14:textId="6D2B8C51" w:rsidR="007B51F7" w:rsidRPr="00660AEA" w:rsidRDefault="007B51F7" w:rsidP="00F307F8">
      <w:pPr>
        <w:pStyle w:val="PlainText"/>
        <w:numPr>
          <w:ilvl w:val="0"/>
          <w:numId w:val="2"/>
        </w:numPr>
        <w:ind w:left="720" w:hanging="360"/>
        <w:rPr>
          <w:rFonts w:ascii="Franklin Gothic Book" w:hAnsi="Franklin Gothic Book"/>
        </w:rPr>
      </w:pPr>
      <w:r w:rsidRPr="00660AEA">
        <w:rPr>
          <w:rFonts w:ascii="Franklin Gothic Book" w:hAnsi="Franklin Gothic Book"/>
        </w:rPr>
        <w:t>Common issues include domicile, taxability of cancellation of debt income, and issues with the homestead credits. Each case has very specific facts and circumstances requiring special consideration.</w:t>
      </w:r>
    </w:p>
    <w:p w14:paraId="10327192" w14:textId="77777777" w:rsidR="00B728A6" w:rsidRPr="00660AEA" w:rsidRDefault="007B51F7" w:rsidP="00B728A6">
      <w:pPr>
        <w:pStyle w:val="PlainText"/>
        <w:numPr>
          <w:ilvl w:val="0"/>
          <w:numId w:val="2"/>
        </w:numPr>
        <w:ind w:left="720" w:hanging="360"/>
        <w:rPr>
          <w:rFonts w:ascii="Franklin Gothic Book" w:hAnsi="Franklin Gothic Book"/>
        </w:rPr>
      </w:pPr>
      <w:r w:rsidRPr="00660AEA">
        <w:rPr>
          <w:rFonts w:ascii="Franklin Gothic Book" w:hAnsi="Franklin Gothic Book"/>
        </w:rPr>
        <w:t xml:space="preserve">In response to numerous questions on this program, </w:t>
      </w:r>
      <w:r w:rsidR="00F307F8" w:rsidRPr="00660AEA">
        <w:rPr>
          <w:rFonts w:ascii="Franklin Gothic Book" w:hAnsi="Franklin Gothic Book"/>
        </w:rPr>
        <w:t>DOR</w:t>
      </w:r>
      <w:r w:rsidRPr="00660AEA">
        <w:rPr>
          <w:rFonts w:ascii="Franklin Gothic Book" w:hAnsi="Franklin Gothic Book"/>
        </w:rPr>
        <w:t xml:space="preserve"> revised regulations and guidance to provide clarification on the domicile / residency issue. These revisions were recently published in the Indiana register.</w:t>
      </w:r>
    </w:p>
    <w:p w14:paraId="0246EDA8" w14:textId="0AD1E1DF" w:rsidR="00B728A6" w:rsidRPr="00660AEA" w:rsidRDefault="00B728A6" w:rsidP="00B728A6">
      <w:pPr>
        <w:pStyle w:val="PlainText"/>
        <w:numPr>
          <w:ilvl w:val="0"/>
          <w:numId w:val="2"/>
        </w:numPr>
        <w:ind w:left="720" w:hanging="360"/>
        <w:rPr>
          <w:rFonts w:ascii="Franklin Gothic Book" w:hAnsi="Franklin Gothic Book"/>
        </w:rPr>
      </w:pPr>
      <w:r w:rsidRPr="00660AEA">
        <w:rPr>
          <w:rFonts w:ascii="Franklin Gothic Book" w:hAnsi="Franklin Gothic Book"/>
        </w:rPr>
        <w:t xml:space="preserve">Please also see </w:t>
      </w:r>
      <w:hyperlink r:id="rId7" w:history="1">
        <w:r w:rsidRPr="00660AEA">
          <w:rPr>
            <w:rStyle w:val="Hyperlink"/>
            <w:rFonts w:ascii="Franklin Gothic Book" w:hAnsi="Franklin Gothic Book"/>
          </w:rPr>
          <w:t>Income Tax Information Bulletin #39</w:t>
        </w:r>
      </w:hyperlink>
      <w:r w:rsidRPr="00660AEA">
        <w:rPr>
          <w:rFonts w:ascii="Franklin Gothic Book" w:hAnsi="Franklin Gothic Book"/>
        </w:rPr>
        <w:t xml:space="preserve"> for more information.</w:t>
      </w:r>
    </w:p>
    <w:p w14:paraId="0FF1DF0F" w14:textId="77777777" w:rsidR="0053161D" w:rsidRPr="00660AEA" w:rsidRDefault="0053161D">
      <w:pPr>
        <w:rPr>
          <w:rFonts w:ascii="Franklin Gothic Book" w:hAnsi="Franklin Gothic Book" w:cs="Times New Roman"/>
        </w:rPr>
      </w:pPr>
    </w:p>
    <w:p w14:paraId="0FF1DF10" w14:textId="77777777" w:rsidR="007B51F7" w:rsidRPr="00660AEA" w:rsidRDefault="007B51F7" w:rsidP="00F307F8">
      <w:pPr>
        <w:rPr>
          <w:rFonts w:ascii="Franklin Gothic Book" w:hAnsi="Franklin Gothic Book" w:cs="Times New Roman"/>
          <w:b/>
          <w:bCs/>
        </w:rPr>
      </w:pPr>
      <w:r w:rsidRPr="00660AEA">
        <w:rPr>
          <w:rFonts w:ascii="Franklin Gothic Book" w:hAnsi="Franklin Gothic Book" w:cs="Times New Roman"/>
          <w:b/>
          <w:bCs/>
        </w:rPr>
        <w:t>Process</w:t>
      </w:r>
    </w:p>
    <w:p w14:paraId="0FF1DF12" w14:textId="55A6B5FD" w:rsidR="007B51F7" w:rsidRPr="00660AEA" w:rsidRDefault="007B51F7" w:rsidP="00F307F8">
      <w:pPr>
        <w:pStyle w:val="PlainText"/>
        <w:numPr>
          <w:ilvl w:val="0"/>
          <w:numId w:val="2"/>
        </w:numPr>
        <w:ind w:left="720" w:hanging="360"/>
        <w:rPr>
          <w:rFonts w:ascii="Franklin Gothic Book" w:hAnsi="Franklin Gothic Book"/>
        </w:rPr>
      </w:pPr>
      <w:r w:rsidRPr="00660AEA">
        <w:rPr>
          <w:rFonts w:ascii="Franklin Gothic Book" w:hAnsi="Franklin Gothic Book"/>
        </w:rPr>
        <w:t xml:space="preserve">After determining a preliminary non-filer status, </w:t>
      </w:r>
      <w:r w:rsidR="00F307F8" w:rsidRPr="00660AEA">
        <w:rPr>
          <w:rFonts w:ascii="Franklin Gothic Book" w:hAnsi="Franklin Gothic Book"/>
        </w:rPr>
        <w:t>DOR</w:t>
      </w:r>
      <w:r w:rsidRPr="00660AEA">
        <w:rPr>
          <w:rFonts w:ascii="Franklin Gothic Book" w:hAnsi="Franklin Gothic Book"/>
        </w:rPr>
        <w:t xml:space="preserve"> contacts those taxpayers via letter. Indiana statute requires that we send notice to the taxpayer 30 days before a liability is created. In accordance with this statute, </w:t>
      </w:r>
      <w:r w:rsidR="00B23E35" w:rsidRPr="00660AEA">
        <w:rPr>
          <w:rFonts w:ascii="Franklin Gothic Book" w:hAnsi="Franklin Gothic Book"/>
        </w:rPr>
        <w:t xml:space="preserve">ITS </w:t>
      </w:r>
      <w:r w:rsidRPr="00660AEA">
        <w:rPr>
          <w:rFonts w:ascii="Franklin Gothic Book" w:hAnsi="Franklin Gothic Book"/>
        </w:rPr>
        <w:t>creates a 30</w:t>
      </w:r>
      <w:r w:rsidR="00F307F8" w:rsidRPr="00660AEA">
        <w:rPr>
          <w:rFonts w:ascii="Franklin Gothic Book" w:hAnsi="Franklin Gothic Book"/>
        </w:rPr>
        <w:t>-</w:t>
      </w:r>
      <w:r w:rsidRPr="00660AEA">
        <w:rPr>
          <w:rFonts w:ascii="Franklin Gothic Book" w:hAnsi="Franklin Gothic Book"/>
        </w:rPr>
        <w:t xml:space="preserve">day notice notifying the customer that it appears they have failed to file a return for a specific tax year. These letters encourage customers to either file the missing return for the periods noted or to contact </w:t>
      </w:r>
      <w:r w:rsidR="00F307F8" w:rsidRPr="00660AEA">
        <w:rPr>
          <w:rFonts w:ascii="Franklin Gothic Book" w:hAnsi="Franklin Gothic Book"/>
        </w:rPr>
        <w:t>DOR</w:t>
      </w:r>
      <w:r w:rsidRPr="00660AEA">
        <w:rPr>
          <w:rFonts w:ascii="Franklin Gothic Book" w:hAnsi="Franklin Gothic Book"/>
        </w:rPr>
        <w:t xml:space="preserve"> to discuss why a return was not filed. </w:t>
      </w:r>
    </w:p>
    <w:p w14:paraId="0FF1DF13" w14:textId="2FA7BF12" w:rsidR="007B51F7" w:rsidRPr="00660AEA" w:rsidRDefault="007B51F7" w:rsidP="00F307F8">
      <w:pPr>
        <w:pStyle w:val="PlainText"/>
        <w:numPr>
          <w:ilvl w:val="0"/>
          <w:numId w:val="2"/>
        </w:numPr>
        <w:ind w:left="720" w:hanging="360"/>
        <w:rPr>
          <w:rFonts w:ascii="Franklin Gothic Book" w:hAnsi="Franklin Gothic Book"/>
        </w:rPr>
      </w:pPr>
      <w:r w:rsidRPr="00660AEA">
        <w:rPr>
          <w:rFonts w:ascii="Franklin Gothic Book" w:hAnsi="Franklin Gothic Book"/>
        </w:rPr>
        <w:t xml:space="preserve">If an individual receives a letter from </w:t>
      </w:r>
      <w:r w:rsidR="00F307F8" w:rsidRPr="00660AEA">
        <w:rPr>
          <w:rFonts w:ascii="Franklin Gothic Book" w:hAnsi="Franklin Gothic Book"/>
        </w:rPr>
        <w:t>DOR</w:t>
      </w:r>
      <w:r w:rsidRPr="00660AEA">
        <w:rPr>
          <w:rFonts w:ascii="Franklin Gothic Book" w:hAnsi="Franklin Gothic Book"/>
        </w:rPr>
        <w:t xml:space="preserve">, it is important that they contact </w:t>
      </w:r>
      <w:r w:rsidR="00F307F8" w:rsidRPr="00660AEA">
        <w:rPr>
          <w:rFonts w:ascii="Franklin Gothic Book" w:hAnsi="Franklin Gothic Book"/>
        </w:rPr>
        <w:t>us</w:t>
      </w:r>
      <w:r w:rsidRPr="00660AEA">
        <w:rPr>
          <w:rFonts w:ascii="Franklin Gothic Book" w:hAnsi="Franklin Gothic Book"/>
        </w:rPr>
        <w:t xml:space="preserve"> early in the process to begin working with one of our analysts. </w:t>
      </w:r>
      <w:r w:rsidR="00B728A6" w:rsidRPr="00660AEA">
        <w:rPr>
          <w:rFonts w:ascii="Franklin Gothic Book" w:hAnsi="Franklin Gothic Book"/>
        </w:rPr>
        <w:t>Contact information will be provided in the letter.</w:t>
      </w:r>
    </w:p>
    <w:p w14:paraId="0FF1DF14" w14:textId="77777777" w:rsidR="007B51F7" w:rsidRPr="00660AEA" w:rsidRDefault="007B51F7">
      <w:pPr>
        <w:rPr>
          <w:rFonts w:ascii="Franklin Gothic Book" w:hAnsi="Franklin Gothic Book" w:cs="Times New Roman"/>
        </w:rPr>
      </w:pPr>
    </w:p>
    <w:p w14:paraId="0FF1DF21" w14:textId="77777777" w:rsidR="00BF4D25" w:rsidRPr="00660AEA" w:rsidRDefault="00BF4D25">
      <w:pPr>
        <w:rPr>
          <w:rFonts w:ascii="Franklin Gothic Book" w:hAnsi="Franklin Gothic Book" w:cs="Times New Roman"/>
        </w:rPr>
      </w:pPr>
    </w:p>
    <w:sectPr w:rsidR="00BF4D25" w:rsidRPr="00660A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650B0" w14:textId="77777777" w:rsidR="009C5176" w:rsidRDefault="009C5176" w:rsidP="009C5176">
      <w:pPr>
        <w:spacing w:after="0" w:line="240" w:lineRule="auto"/>
      </w:pPr>
      <w:r>
        <w:separator/>
      </w:r>
    </w:p>
  </w:endnote>
  <w:endnote w:type="continuationSeparator" w:id="0">
    <w:p w14:paraId="01FF0420" w14:textId="77777777" w:rsidR="009C5176" w:rsidRDefault="009C5176" w:rsidP="009C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BC02A" w14:textId="77777777" w:rsidR="009C5176" w:rsidRDefault="009C5176" w:rsidP="009C5176">
      <w:pPr>
        <w:spacing w:after="0" w:line="240" w:lineRule="auto"/>
      </w:pPr>
      <w:r>
        <w:separator/>
      </w:r>
    </w:p>
  </w:footnote>
  <w:footnote w:type="continuationSeparator" w:id="0">
    <w:p w14:paraId="4A761492" w14:textId="77777777" w:rsidR="009C5176" w:rsidRDefault="009C5176" w:rsidP="009C5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51808"/>
    <w:multiLevelType w:val="hybridMultilevel"/>
    <w:tmpl w:val="4A9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074FA"/>
    <w:multiLevelType w:val="hybridMultilevel"/>
    <w:tmpl w:val="7B283E3E"/>
    <w:lvl w:ilvl="0" w:tplc="BCA23CF8">
      <w:numFmt w:val="bullet"/>
      <w:lvlText w:val="•"/>
      <w:lvlJc w:val="left"/>
      <w:pPr>
        <w:ind w:left="1120" w:hanging="7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295101">
    <w:abstractNumId w:val="0"/>
  </w:num>
  <w:num w:numId="2" w16cid:durableId="131506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F7"/>
    <w:rsid w:val="000B0575"/>
    <w:rsid w:val="000D2BE3"/>
    <w:rsid w:val="00253B50"/>
    <w:rsid w:val="002D1EBF"/>
    <w:rsid w:val="0053161D"/>
    <w:rsid w:val="00542A20"/>
    <w:rsid w:val="005D5DBC"/>
    <w:rsid w:val="00660AEA"/>
    <w:rsid w:val="006B1D31"/>
    <w:rsid w:val="00735054"/>
    <w:rsid w:val="007B51F7"/>
    <w:rsid w:val="00957146"/>
    <w:rsid w:val="009C5176"/>
    <w:rsid w:val="00A94D92"/>
    <w:rsid w:val="00AB5E3A"/>
    <w:rsid w:val="00B23E35"/>
    <w:rsid w:val="00B728A6"/>
    <w:rsid w:val="00BF4D25"/>
    <w:rsid w:val="00C83D06"/>
    <w:rsid w:val="00F307F8"/>
    <w:rsid w:val="00FA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F1D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51F7"/>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B51F7"/>
    <w:rPr>
      <w:rFonts w:ascii="Calibri" w:hAnsi="Calibri" w:cs="Times New Roman"/>
    </w:rPr>
  </w:style>
  <w:style w:type="paragraph" w:styleId="ListParagraph">
    <w:name w:val="List Paragraph"/>
    <w:basedOn w:val="Normal"/>
    <w:uiPriority w:val="34"/>
    <w:qFormat/>
    <w:rsid w:val="00F307F8"/>
    <w:pPr>
      <w:ind w:left="720"/>
      <w:contextualSpacing/>
    </w:pPr>
  </w:style>
  <w:style w:type="character" w:styleId="Hyperlink">
    <w:name w:val="Hyperlink"/>
    <w:basedOn w:val="DefaultParagraphFont"/>
    <w:uiPriority w:val="99"/>
    <w:unhideWhenUsed/>
    <w:rsid w:val="00B728A6"/>
    <w:rPr>
      <w:color w:val="467886"/>
      <w:u w:val="single"/>
    </w:rPr>
  </w:style>
  <w:style w:type="character" w:styleId="FollowedHyperlink">
    <w:name w:val="FollowedHyperlink"/>
    <w:basedOn w:val="DefaultParagraphFont"/>
    <w:uiPriority w:val="99"/>
    <w:semiHidden/>
    <w:unhideWhenUsed/>
    <w:rsid w:val="00B728A6"/>
    <w:rPr>
      <w:color w:val="954F72" w:themeColor="followedHyperlink"/>
      <w:u w:val="single"/>
    </w:rPr>
  </w:style>
  <w:style w:type="character" w:styleId="UnresolvedMention">
    <w:name w:val="Unresolved Mention"/>
    <w:basedOn w:val="DefaultParagraphFont"/>
    <w:uiPriority w:val="99"/>
    <w:semiHidden/>
    <w:unhideWhenUsed/>
    <w:rsid w:val="00B728A6"/>
    <w:rPr>
      <w:color w:val="605E5C"/>
      <w:shd w:val="clear" w:color="auto" w:fill="E1DFDD"/>
    </w:rPr>
  </w:style>
  <w:style w:type="paragraph" w:styleId="Header">
    <w:name w:val="header"/>
    <w:basedOn w:val="Normal"/>
    <w:link w:val="HeaderChar"/>
    <w:uiPriority w:val="99"/>
    <w:unhideWhenUsed/>
    <w:rsid w:val="009C5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176"/>
  </w:style>
  <w:style w:type="paragraph" w:styleId="Footer">
    <w:name w:val="footer"/>
    <w:basedOn w:val="Normal"/>
    <w:link w:val="FooterChar"/>
    <w:uiPriority w:val="99"/>
    <w:unhideWhenUsed/>
    <w:rsid w:val="009C5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029328">
      <w:bodyDiv w:val="1"/>
      <w:marLeft w:val="0"/>
      <w:marRight w:val="0"/>
      <w:marTop w:val="0"/>
      <w:marBottom w:val="0"/>
      <w:divBdr>
        <w:top w:val="none" w:sz="0" w:space="0" w:color="auto"/>
        <w:left w:val="none" w:sz="0" w:space="0" w:color="auto"/>
        <w:bottom w:val="none" w:sz="0" w:space="0" w:color="auto"/>
        <w:right w:val="none" w:sz="0" w:space="0" w:color="auto"/>
      </w:divBdr>
    </w:div>
    <w:div w:id="1360816393">
      <w:bodyDiv w:val="1"/>
      <w:marLeft w:val="0"/>
      <w:marRight w:val="0"/>
      <w:marTop w:val="0"/>
      <w:marBottom w:val="0"/>
      <w:divBdr>
        <w:top w:val="none" w:sz="0" w:space="0" w:color="auto"/>
        <w:left w:val="none" w:sz="0" w:space="0" w:color="auto"/>
        <w:bottom w:val="none" w:sz="0" w:space="0" w:color="auto"/>
        <w:right w:val="none" w:sz="0" w:space="0" w:color="auto"/>
      </w:divBdr>
    </w:div>
    <w:div w:id="1480534792">
      <w:bodyDiv w:val="1"/>
      <w:marLeft w:val="0"/>
      <w:marRight w:val="0"/>
      <w:marTop w:val="0"/>
      <w:marBottom w:val="0"/>
      <w:divBdr>
        <w:top w:val="none" w:sz="0" w:space="0" w:color="auto"/>
        <w:left w:val="none" w:sz="0" w:space="0" w:color="auto"/>
        <w:bottom w:val="none" w:sz="0" w:space="0" w:color="auto"/>
        <w:right w:val="none" w:sz="0" w:space="0" w:color="auto"/>
      </w:divBdr>
    </w:div>
    <w:div w:id="1730423429">
      <w:bodyDiv w:val="1"/>
      <w:marLeft w:val="0"/>
      <w:marRight w:val="0"/>
      <w:marTop w:val="0"/>
      <w:marBottom w:val="0"/>
      <w:divBdr>
        <w:top w:val="none" w:sz="0" w:space="0" w:color="auto"/>
        <w:left w:val="none" w:sz="0" w:space="0" w:color="auto"/>
        <w:bottom w:val="none" w:sz="0" w:space="0" w:color="auto"/>
        <w:right w:val="none" w:sz="0" w:space="0" w:color="auto"/>
      </w:divBdr>
    </w:div>
    <w:div w:id="2079400602">
      <w:bodyDiv w:val="1"/>
      <w:marLeft w:val="0"/>
      <w:marRight w:val="0"/>
      <w:marTop w:val="0"/>
      <w:marBottom w:val="0"/>
      <w:divBdr>
        <w:top w:val="none" w:sz="0" w:space="0" w:color="auto"/>
        <w:left w:val="none" w:sz="0" w:space="0" w:color="auto"/>
        <w:bottom w:val="none" w:sz="0" w:space="0" w:color="auto"/>
        <w:right w:val="none" w:sz="0" w:space="0" w:color="auto"/>
      </w:divBdr>
    </w:div>
    <w:div w:id="21423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gov/dor/files/ib3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2024-09-16T13:52:00Z</dcterms:created>
  <dcterms:modified xsi:type="dcterms:W3CDTF">2024-09-16T13:52:00Z</dcterms:modified>
</cp:coreProperties>
</file>